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3B7" w:rsidRDefault="003165AF">
      <w:pPr>
        <w:tabs>
          <w:tab w:val="left" w:pos="6965"/>
        </w:tabs>
        <w:ind w:left="381"/>
        <w:rPr>
          <w:rFonts w:ascii="Times New Roman"/>
          <w:sz w:val="20"/>
        </w:rPr>
      </w:pPr>
      <w:r>
        <w:rPr>
          <w:rFonts w:ascii="Times New Roman"/>
          <w:noProof/>
          <w:sz w:val="20"/>
          <w:lang w:eastAsia="el-GR"/>
        </w:rPr>
        <w:drawing>
          <wp:inline distT="0" distB="0" distL="0" distR="0">
            <wp:extent cx="585098" cy="6747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85098" cy="674751"/>
                    </a:xfrm>
                    <a:prstGeom prst="rect">
                      <a:avLst/>
                    </a:prstGeom>
                  </pic:spPr>
                </pic:pic>
              </a:graphicData>
            </a:graphic>
          </wp:inline>
        </w:drawing>
      </w:r>
      <w:r>
        <w:rPr>
          <w:rFonts w:ascii="Times New Roman"/>
          <w:sz w:val="20"/>
        </w:rPr>
        <w:tab/>
      </w:r>
      <w:r>
        <w:rPr>
          <w:rFonts w:ascii="Times New Roman"/>
          <w:noProof/>
          <w:position w:val="36"/>
          <w:sz w:val="20"/>
          <w:lang w:eastAsia="el-GR"/>
        </w:rPr>
        <w:drawing>
          <wp:inline distT="0" distB="0" distL="0" distR="0">
            <wp:extent cx="1608924" cy="56578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608924" cy="565784"/>
                    </a:xfrm>
                    <a:prstGeom prst="rect">
                      <a:avLst/>
                    </a:prstGeom>
                  </pic:spPr>
                </pic:pic>
              </a:graphicData>
            </a:graphic>
          </wp:inline>
        </w:drawing>
      </w:r>
    </w:p>
    <w:p w:rsidR="00AE53B7" w:rsidRDefault="00AE53B7">
      <w:pPr>
        <w:pStyle w:val="a3"/>
        <w:spacing w:before="10"/>
        <w:rPr>
          <w:rFonts w:ascii="Times New Roman"/>
          <w:sz w:val="20"/>
        </w:rPr>
      </w:pPr>
    </w:p>
    <w:p w:rsidR="00AE53B7" w:rsidRDefault="00AE53B7">
      <w:pPr>
        <w:rPr>
          <w:rFonts w:ascii="Times New Roman"/>
          <w:sz w:val="20"/>
        </w:rPr>
        <w:sectPr w:rsidR="00AE53B7">
          <w:footerReference w:type="default" r:id="rId9"/>
          <w:type w:val="continuous"/>
          <w:pgSz w:w="11910" w:h="16840"/>
          <w:pgMar w:top="640" w:right="820" w:bottom="1160" w:left="1460" w:header="0" w:footer="971" w:gutter="0"/>
          <w:pgNumType w:start="1"/>
          <w:cols w:space="720"/>
        </w:sectPr>
      </w:pPr>
    </w:p>
    <w:p w:rsidR="00AE53B7" w:rsidRDefault="003165AF">
      <w:pPr>
        <w:spacing w:before="101"/>
        <w:ind w:left="208"/>
        <w:rPr>
          <w:b/>
        </w:rPr>
      </w:pPr>
      <w:r>
        <w:rPr>
          <w:b/>
        </w:rPr>
        <w:lastRenderedPageBreak/>
        <w:t>ΕΛΛΗΝΙΚΗ ΔΗΜΟΚΡΑΤΙΑ ΥΠΟΥΡΓΕΙΟ ΚΟΙΝΩΝΙΚΗΣ ΣΥΝΟΧΗΣ</w:t>
      </w:r>
      <w:r>
        <w:rPr>
          <w:b/>
          <w:spacing w:val="-17"/>
        </w:rPr>
        <w:t xml:space="preserve"> </w:t>
      </w:r>
      <w:r>
        <w:rPr>
          <w:b/>
        </w:rPr>
        <w:t>&amp;</w:t>
      </w:r>
      <w:r>
        <w:rPr>
          <w:b/>
          <w:spacing w:val="-16"/>
        </w:rPr>
        <w:t xml:space="preserve"> </w:t>
      </w:r>
      <w:r>
        <w:rPr>
          <w:b/>
        </w:rPr>
        <w:t>ΟΙΚΟΓΕΝΕΙΑΣ</w:t>
      </w:r>
    </w:p>
    <w:p w:rsidR="00AE53B7" w:rsidRDefault="00AE53B7">
      <w:pPr>
        <w:pStyle w:val="a3"/>
        <w:spacing w:before="265"/>
        <w:rPr>
          <w:b/>
        </w:rPr>
      </w:pPr>
    </w:p>
    <w:p w:rsidR="00AE53B7" w:rsidRDefault="003165AF">
      <w:pPr>
        <w:ind w:left="208" w:right="674"/>
        <w:jc w:val="both"/>
      </w:pPr>
      <w:r>
        <w:rPr>
          <w:b/>
        </w:rPr>
        <w:t xml:space="preserve">Ταχ. Δ/νση: </w:t>
      </w:r>
      <w:r>
        <w:t xml:space="preserve">Δραγατσανίου 08 </w:t>
      </w:r>
      <w:r>
        <w:rPr>
          <w:b/>
        </w:rPr>
        <w:t>Ταχ.</w:t>
      </w:r>
      <w:r>
        <w:rPr>
          <w:b/>
          <w:spacing w:val="-6"/>
        </w:rPr>
        <w:t xml:space="preserve"> </w:t>
      </w:r>
      <w:r>
        <w:rPr>
          <w:b/>
        </w:rPr>
        <w:t>Κώδικας:</w:t>
      </w:r>
      <w:r>
        <w:rPr>
          <w:b/>
          <w:spacing w:val="-6"/>
        </w:rPr>
        <w:t xml:space="preserve"> </w:t>
      </w:r>
      <w:r>
        <w:t>105</w:t>
      </w:r>
      <w:r>
        <w:rPr>
          <w:spacing w:val="-6"/>
        </w:rPr>
        <w:t xml:space="preserve"> </w:t>
      </w:r>
      <w:r>
        <w:t>59</w:t>
      </w:r>
      <w:r>
        <w:rPr>
          <w:spacing w:val="-5"/>
        </w:rPr>
        <w:t xml:space="preserve"> </w:t>
      </w:r>
      <w:r>
        <w:t>-</w:t>
      </w:r>
      <w:r>
        <w:rPr>
          <w:spacing w:val="-5"/>
        </w:rPr>
        <w:t xml:space="preserve"> </w:t>
      </w:r>
      <w:r>
        <w:t xml:space="preserve">Αθήνα </w:t>
      </w:r>
      <w:r>
        <w:rPr>
          <w:b/>
        </w:rPr>
        <w:t>Πληροφορίες:</w:t>
      </w:r>
      <w:r>
        <w:rPr>
          <w:b/>
          <w:spacing w:val="-16"/>
        </w:rPr>
        <w:t xml:space="preserve"> </w:t>
      </w:r>
      <w:r>
        <w:t>Κ.</w:t>
      </w:r>
      <w:r>
        <w:rPr>
          <w:spacing w:val="-18"/>
        </w:rPr>
        <w:t xml:space="preserve"> </w:t>
      </w:r>
      <w:r>
        <w:t xml:space="preserve">Λιακόπουλος </w:t>
      </w:r>
      <w:r>
        <w:rPr>
          <w:b/>
        </w:rPr>
        <w:t xml:space="preserve">Τηλέφωνο: </w:t>
      </w:r>
      <w:r>
        <w:t>2144055235</w:t>
      </w:r>
    </w:p>
    <w:p w:rsidR="00AE53B7" w:rsidRDefault="003165AF">
      <w:pPr>
        <w:ind w:left="208"/>
        <w:jc w:val="both"/>
      </w:pPr>
      <w:r>
        <w:rPr>
          <w:b/>
        </w:rPr>
        <w:t>e-mail:</w:t>
      </w:r>
      <w:r>
        <w:rPr>
          <w:b/>
          <w:spacing w:val="-4"/>
        </w:rPr>
        <w:t xml:space="preserve"> </w:t>
      </w:r>
      <w:hyperlink r:id="rId10">
        <w:r>
          <w:rPr>
            <w:spacing w:val="-2"/>
          </w:rPr>
          <w:t>kostis.liakopoulos@gmail.com</w:t>
        </w:r>
      </w:hyperlink>
    </w:p>
    <w:p w:rsidR="00AE53B7" w:rsidRDefault="003165AF">
      <w:pPr>
        <w:spacing w:before="101"/>
        <w:ind w:left="208"/>
        <w:rPr>
          <w:b/>
        </w:rPr>
      </w:pPr>
      <w:r>
        <w:br w:type="column"/>
      </w:r>
      <w:r>
        <w:rPr>
          <w:b/>
          <w:spacing w:val="-2"/>
        </w:rPr>
        <w:lastRenderedPageBreak/>
        <w:t>Αθήνα</w:t>
      </w:r>
    </w:p>
    <w:p w:rsidR="00AE53B7" w:rsidRDefault="003165AF">
      <w:pPr>
        <w:ind w:left="208"/>
        <w:rPr>
          <w:b/>
        </w:rPr>
      </w:pPr>
      <w:r>
        <w:rPr>
          <w:b/>
        </w:rPr>
        <w:t>Αριθ.</w:t>
      </w:r>
      <w:r>
        <w:rPr>
          <w:b/>
          <w:spacing w:val="58"/>
        </w:rPr>
        <w:t xml:space="preserve"> </w:t>
      </w:r>
      <w:r>
        <w:rPr>
          <w:b/>
        </w:rPr>
        <w:t>Eσωτ.</w:t>
      </w:r>
      <w:r>
        <w:rPr>
          <w:b/>
          <w:spacing w:val="-3"/>
        </w:rPr>
        <w:t xml:space="preserve"> </w:t>
      </w:r>
      <w:r>
        <w:rPr>
          <w:b/>
          <w:spacing w:val="-2"/>
        </w:rPr>
        <w:t>Πρωτ.:</w:t>
      </w:r>
    </w:p>
    <w:p w:rsidR="00AE53B7" w:rsidRDefault="00AE53B7">
      <w:pPr>
        <w:pStyle w:val="a3"/>
        <w:rPr>
          <w:b/>
        </w:rPr>
      </w:pPr>
    </w:p>
    <w:p w:rsidR="00AE53B7" w:rsidRDefault="00AE53B7">
      <w:pPr>
        <w:pStyle w:val="a3"/>
        <w:spacing w:before="265"/>
        <w:rPr>
          <w:b/>
        </w:rPr>
      </w:pPr>
    </w:p>
    <w:p w:rsidR="00AE53B7" w:rsidRDefault="003165AF">
      <w:pPr>
        <w:pStyle w:val="a3"/>
        <w:ind w:left="1033" w:right="1223" w:hanging="825"/>
      </w:pPr>
      <w:r>
        <w:rPr>
          <w:b/>
        </w:rPr>
        <w:t xml:space="preserve">ΠΡΟΣ: </w:t>
      </w:r>
      <w:r>
        <w:t>Τη Βουλή των Ελλήνων Δ/νση</w:t>
      </w:r>
      <w:r>
        <w:rPr>
          <w:spacing w:val="-17"/>
        </w:rPr>
        <w:t xml:space="preserve"> </w:t>
      </w:r>
      <w:r>
        <w:t>Κοιν/κού</w:t>
      </w:r>
      <w:r>
        <w:rPr>
          <w:spacing w:val="-17"/>
        </w:rPr>
        <w:t xml:space="preserve"> </w:t>
      </w:r>
      <w:r>
        <w:t>Ελέγχου Τμήμα Ερωτήσεων</w:t>
      </w:r>
    </w:p>
    <w:p w:rsidR="00AE53B7" w:rsidRDefault="003165AF">
      <w:pPr>
        <w:pStyle w:val="a3"/>
        <w:ind w:left="1720"/>
      </w:pPr>
      <w:r>
        <w:rPr>
          <w:spacing w:val="-4"/>
        </w:rPr>
        <w:t>Αθήνα</w:t>
      </w:r>
    </w:p>
    <w:p w:rsidR="00AE53B7" w:rsidRDefault="00AE53B7">
      <w:pPr>
        <w:pStyle w:val="a3"/>
      </w:pPr>
    </w:p>
    <w:p w:rsidR="00AE53B7" w:rsidRDefault="00AE53B7">
      <w:pPr>
        <w:pStyle w:val="a3"/>
      </w:pPr>
    </w:p>
    <w:p w:rsidR="00AE53B7" w:rsidRDefault="003165AF">
      <w:pPr>
        <w:pStyle w:val="a3"/>
        <w:ind w:left="208" w:firstLine="64"/>
      </w:pPr>
      <w:r>
        <w:rPr>
          <w:b/>
        </w:rPr>
        <w:t>KOIN.</w:t>
      </w:r>
      <w:r>
        <w:rPr>
          <w:b/>
          <w:spacing w:val="-6"/>
        </w:rPr>
        <w:t xml:space="preserve"> </w:t>
      </w:r>
      <w:r>
        <w:rPr>
          <w:b/>
        </w:rPr>
        <w:t>:</w:t>
      </w:r>
      <w:r>
        <w:rPr>
          <w:b/>
          <w:spacing w:val="-7"/>
        </w:rPr>
        <w:t xml:space="preserve"> </w:t>
      </w:r>
      <w:r>
        <w:t>Πολιτική</w:t>
      </w:r>
      <w:r>
        <w:rPr>
          <w:spacing w:val="-8"/>
        </w:rPr>
        <w:t xml:space="preserve"> </w:t>
      </w:r>
      <w:r>
        <w:t>Γραμματεία</w:t>
      </w:r>
      <w:r>
        <w:rPr>
          <w:spacing w:val="40"/>
        </w:rPr>
        <w:t xml:space="preserve"> </w:t>
      </w:r>
      <w:r>
        <w:t>Υπουργού Κοινωνικής Συνοχής</w:t>
      </w:r>
      <w:r>
        <w:rPr>
          <w:spacing w:val="40"/>
        </w:rPr>
        <w:t xml:space="preserve"> </w:t>
      </w:r>
      <w:r>
        <w:t>και Οικογένειας</w:t>
      </w:r>
    </w:p>
    <w:p w:rsidR="00AE53B7" w:rsidRDefault="00AE53B7">
      <w:pPr>
        <w:sectPr w:rsidR="00AE53B7">
          <w:type w:val="continuous"/>
          <w:pgSz w:w="11910" w:h="16840"/>
          <w:pgMar w:top="640" w:right="820" w:bottom="1160" w:left="1460" w:header="0" w:footer="971" w:gutter="0"/>
          <w:cols w:num="2" w:space="720" w:equalWidth="0">
            <w:col w:w="3981" w:space="619"/>
            <w:col w:w="5030"/>
          </w:cols>
        </w:sectPr>
      </w:pPr>
    </w:p>
    <w:p w:rsidR="00AE53B7" w:rsidRDefault="00AE53B7">
      <w:pPr>
        <w:pStyle w:val="a3"/>
      </w:pPr>
    </w:p>
    <w:p w:rsidR="00AE53B7" w:rsidRDefault="00AE53B7">
      <w:pPr>
        <w:pStyle w:val="a3"/>
      </w:pPr>
    </w:p>
    <w:p w:rsidR="00AE53B7" w:rsidRDefault="003165AF">
      <w:pPr>
        <w:pStyle w:val="a3"/>
        <w:spacing w:line="360" w:lineRule="auto"/>
        <w:ind w:left="100" w:right="168"/>
        <w:jc w:val="both"/>
      </w:pPr>
      <w:r>
        <w:rPr>
          <w:b/>
        </w:rPr>
        <w:t>ΘΕΜΑ</w:t>
      </w:r>
      <w:r>
        <w:t>: Ανάγκη τήρησης των προβλεπόμενων στο άρθρο 52, του Ν. 2082/1992 προς υποστήριξη των πολυτέκνων οικογενειών</w:t>
      </w:r>
    </w:p>
    <w:p w:rsidR="00AE53B7" w:rsidRDefault="003165AF">
      <w:pPr>
        <w:ind w:left="100"/>
        <w:jc w:val="both"/>
      </w:pPr>
      <w:r>
        <w:rPr>
          <w:b/>
        </w:rPr>
        <w:t>ΣΧΕΤ:</w:t>
      </w:r>
      <w:r>
        <w:rPr>
          <w:b/>
          <w:spacing w:val="-2"/>
        </w:rPr>
        <w:t xml:space="preserve"> </w:t>
      </w:r>
      <w:r>
        <w:t>Η</w:t>
      </w:r>
      <w:r>
        <w:rPr>
          <w:spacing w:val="65"/>
        </w:rPr>
        <w:t xml:space="preserve"> </w:t>
      </w:r>
      <w:r>
        <w:t>αριθ.</w:t>
      </w:r>
      <w:r>
        <w:rPr>
          <w:spacing w:val="-2"/>
        </w:rPr>
        <w:t xml:space="preserve"> </w:t>
      </w:r>
      <w:r>
        <w:t>πρωτ.</w:t>
      </w:r>
      <w:r>
        <w:rPr>
          <w:spacing w:val="-6"/>
        </w:rPr>
        <w:t xml:space="preserve"> </w:t>
      </w:r>
      <w:r>
        <w:rPr>
          <w:b/>
        </w:rPr>
        <w:t>5326/26-06-2024</w:t>
      </w:r>
      <w:r>
        <w:rPr>
          <w:b/>
          <w:spacing w:val="-2"/>
        </w:rPr>
        <w:t xml:space="preserve"> </w:t>
      </w:r>
      <w:r>
        <w:rPr>
          <w:spacing w:val="-2"/>
        </w:rPr>
        <w:t>Ερώτηση.</w:t>
      </w:r>
    </w:p>
    <w:p w:rsidR="00AE53B7" w:rsidRDefault="00AE53B7">
      <w:pPr>
        <w:pStyle w:val="a3"/>
      </w:pPr>
    </w:p>
    <w:p w:rsidR="00AE53B7" w:rsidRDefault="00AE53B7">
      <w:pPr>
        <w:pStyle w:val="a3"/>
      </w:pPr>
    </w:p>
    <w:p w:rsidR="00AE53B7" w:rsidRDefault="003165AF">
      <w:pPr>
        <w:pStyle w:val="a3"/>
        <w:spacing w:line="276" w:lineRule="auto"/>
        <w:ind w:left="100" w:right="167" w:firstLine="275"/>
        <w:jc w:val="both"/>
      </w:pPr>
      <w:r>
        <w:t>Σε απάντηση της σχετικής Ερώτησης, που κατατέθηκε στη Βουλή από τον βουλευτή της Ελληνικής Λύσης κ. Βελόπουλο Κυριάκο, αναφορικά με το παραπάνω θέμα, σας γνωρίζουμε ότι σε ό,τι αφορά τις πολύτεκνες οικογένειες, όσα έχει υλοποιήσε</w:t>
      </w:r>
      <w:r>
        <w:t>ι η Κυβέρνηση έχουν πολύ άμεση επιρροή στις ζωές τους.</w:t>
      </w:r>
    </w:p>
    <w:p w:rsidR="00AE53B7" w:rsidRDefault="00AE53B7">
      <w:pPr>
        <w:pStyle w:val="a3"/>
        <w:spacing w:before="40"/>
      </w:pPr>
    </w:p>
    <w:p w:rsidR="00AE53B7" w:rsidRDefault="003165AF">
      <w:pPr>
        <w:pStyle w:val="a3"/>
        <w:spacing w:line="276" w:lineRule="auto"/>
        <w:ind w:left="100" w:right="167"/>
        <w:jc w:val="both"/>
      </w:pPr>
      <w:r>
        <w:t>Μέτρα, τα οποία έχουν επιτευχθεί με πολλή δουλειά και σε εξαιρετικό κλίμα συνεργασίας με τα συναρμόδια Υπουργεία και τα οποία καλύπτουν πολύ περισσότερες πολύτεκνες οικογένειες από όσες αποσκοπεί το ά</w:t>
      </w:r>
      <w:r>
        <w:t>ρθρο 52 του ν. 2082/1992, το οποίο περιλαμβάνει περιοριστικά τους πολύτεκνους γονείς που προστατεύουν εφτά (7) παιδιά και άνω.</w:t>
      </w:r>
    </w:p>
    <w:p w:rsidR="00AE53B7" w:rsidRDefault="00AE53B7">
      <w:pPr>
        <w:pStyle w:val="a3"/>
        <w:spacing w:before="39"/>
      </w:pPr>
    </w:p>
    <w:p w:rsidR="00AE53B7" w:rsidRDefault="003165AF">
      <w:pPr>
        <w:pStyle w:val="a3"/>
        <w:spacing w:before="1"/>
        <w:ind w:left="100" w:right="167" w:firstLine="275"/>
        <w:jc w:val="both"/>
      </w:pPr>
      <w:r>
        <w:t>Έχουμε χρέος ως Πολιτεία, να στηρίξουμε την πολύτεκνη οικογένεια, η οποία αποτελεί θεμέλιο της κοινωνίας μας και εχέγγυο για την συνέχεια της εξέλιξης και της προόδου. Ένα</w:t>
      </w:r>
      <w:r>
        <w:rPr>
          <w:spacing w:val="40"/>
        </w:rPr>
        <w:t xml:space="preserve"> </w:t>
      </w:r>
      <w:r>
        <w:t>χρέος που πρέπει να πραγματώνεται στην πράξη και να διαπνέει το σύνολο των πολιτικών</w:t>
      </w:r>
      <w:r>
        <w:t xml:space="preserve"> μας, ιδιαίτερα εν μέσω της παγκόσμιας δημογραφικής πρόκλησης, η οποία έχει επηρεάσει και τη</w:t>
      </w:r>
      <w:r>
        <w:rPr>
          <w:spacing w:val="40"/>
        </w:rPr>
        <w:t xml:space="preserve"> </w:t>
      </w:r>
      <w:r>
        <w:t>χώρα μας.</w:t>
      </w:r>
    </w:p>
    <w:p w:rsidR="00AE53B7" w:rsidRDefault="00AE53B7">
      <w:pPr>
        <w:pStyle w:val="a3"/>
        <w:spacing w:before="39"/>
      </w:pPr>
    </w:p>
    <w:p w:rsidR="00AE53B7" w:rsidRDefault="003165AF">
      <w:pPr>
        <w:pStyle w:val="a3"/>
        <w:spacing w:line="276" w:lineRule="auto"/>
        <w:ind w:left="100" w:right="166" w:firstLine="275"/>
        <w:jc w:val="both"/>
      </w:pPr>
      <w:r>
        <w:t>Σε ό,τι αφορά τη στεγαστική πολιτική, στο πρόγραμμα Σπίτι μου, ένα επιτυχημένο παράδειγμα στεγαστικής πολιτικής που αποδεδειγμένα έχει γνωρίσει μεγάλη α</w:t>
      </w:r>
      <w:r>
        <w:t>νταπόκριση, υπάρχει</w:t>
      </w:r>
      <w:r>
        <w:rPr>
          <w:spacing w:val="-2"/>
        </w:rPr>
        <w:t xml:space="preserve"> </w:t>
      </w:r>
      <w:r>
        <w:t>πρόβλεψη</w:t>
      </w:r>
      <w:r>
        <w:rPr>
          <w:spacing w:val="-2"/>
        </w:rPr>
        <w:t xml:space="preserve"> </w:t>
      </w:r>
      <w:r>
        <w:t>ώστε</w:t>
      </w:r>
      <w:r>
        <w:rPr>
          <w:spacing w:val="-2"/>
        </w:rPr>
        <w:t xml:space="preserve"> </w:t>
      </w:r>
      <w:r>
        <w:t>ειδικά</w:t>
      </w:r>
      <w:r>
        <w:rPr>
          <w:spacing w:val="-2"/>
        </w:rPr>
        <w:t xml:space="preserve"> </w:t>
      </w:r>
      <w:r>
        <w:t>για</w:t>
      </w:r>
      <w:r>
        <w:rPr>
          <w:spacing w:val="-2"/>
        </w:rPr>
        <w:t xml:space="preserve"> </w:t>
      </w:r>
      <w:r>
        <w:t>τις</w:t>
      </w:r>
      <w:r>
        <w:rPr>
          <w:spacing w:val="-2"/>
        </w:rPr>
        <w:t xml:space="preserve"> </w:t>
      </w:r>
      <w:r>
        <w:t>τρίτεκνες</w:t>
      </w:r>
      <w:r>
        <w:rPr>
          <w:spacing w:val="-2"/>
        </w:rPr>
        <w:t xml:space="preserve"> </w:t>
      </w:r>
      <w:r>
        <w:t>και</w:t>
      </w:r>
      <w:r>
        <w:rPr>
          <w:spacing w:val="-2"/>
        </w:rPr>
        <w:t xml:space="preserve"> </w:t>
      </w:r>
      <w:r>
        <w:t>πολύτεκνες</w:t>
      </w:r>
      <w:r>
        <w:rPr>
          <w:spacing w:val="-2"/>
        </w:rPr>
        <w:t xml:space="preserve"> </w:t>
      </w:r>
      <w:r>
        <w:t>οικογένειες,</w:t>
      </w:r>
      <w:r>
        <w:rPr>
          <w:spacing w:val="-2"/>
        </w:rPr>
        <w:t xml:space="preserve"> </w:t>
      </w:r>
      <w:r>
        <w:t>να</w:t>
      </w:r>
      <w:r>
        <w:rPr>
          <w:spacing w:val="-2"/>
        </w:rPr>
        <w:t xml:space="preserve"> </w:t>
      </w:r>
      <w:r>
        <w:t>πραγματοποιείται από το πρόγραμμα ολική επιδότηση επιτοκίου (100%), μειώνοντας κατ’ αυτόν τον τρόπο περαιτέρω το κόστος απόκτησης πρώτης κατοικίας για αυτές τις πληθυ</w:t>
      </w:r>
      <w:r>
        <w:t>σμιακές ομάδες και μάλιστα προβλέποντας να εντάσσονται σε αυτή τη ρύθμιση και οι οικογένειες που έγιναν αποδεκτές και στην πορεία του προγράμματος να καταστούν τρίτεκνες ή πολύτεκνες. Συγκεκριμένα,</w:t>
      </w:r>
      <w:r>
        <w:rPr>
          <w:spacing w:val="28"/>
        </w:rPr>
        <w:t xml:space="preserve"> </w:t>
      </w:r>
      <w:r>
        <w:t>έχουν</w:t>
      </w:r>
      <w:r>
        <w:rPr>
          <w:spacing w:val="29"/>
        </w:rPr>
        <w:t xml:space="preserve"> </w:t>
      </w:r>
      <w:r>
        <w:t>υπαχθεί</w:t>
      </w:r>
      <w:r>
        <w:rPr>
          <w:spacing w:val="29"/>
        </w:rPr>
        <w:t xml:space="preserve"> </w:t>
      </w:r>
      <w:r>
        <w:t>στο</w:t>
      </w:r>
      <w:r>
        <w:rPr>
          <w:spacing w:val="29"/>
        </w:rPr>
        <w:t xml:space="preserve"> </w:t>
      </w:r>
      <w:r>
        <w:t>πρόγραμμα</w:t>
      </w:r>
      <w:r>
        <w:rPr>
          <w:spacing w:val="30"/>
        </w:rPr>
        <w:t xml:space="preserve"> </w:t>
      </w:r>
      <w:r>
        <w:t>680</w:t>
      </w:r>
      <w:r>
        <w:rPr>
          <w:spacing w:val="28"/>
        </w:rPr>
        <w:t xml:space="preserve"> </w:t>
      </w:r>
      <w:r>
        <w:t>τρίτεκνοι</w:t>
      </w:r>
      <w:r>
        <w:rPr>
          <w:spacing w:val="30"/>
        </w:rPr>
        <w:t xml:space="preserve"> </w:t>
      </w:r>
      <w:r>
        <w:t>και</w:t>
      </w:r>
      <w:r>
        <w:rPr>
          <w:spacing w:val="29"/>
        </w:rPr>
        <w:t xml:space="preserve"> </w:t>
      </w:r>
      <w:r>
        <w:t>104</w:t>
      </w:r>
      <w:r>
        <w:rPr>
          <w:spacing w:val="30"/>
        </w:rPr>
        <w:t xml:space="preserve"> </w:t>
      </w:r>
      <w:r>
        <w:t>πολύτεκν</w:t>
      </w:r>
      <w:r>
        <w:t>οι</w:t>
      </w:r>
      <w:r>
        <w:rPr>
          <w:spacing w:val="29"/>
        </w:rPr>
        <w:t xml:space="preserve"> </w:t>
      </w:r>
      <w:r>
        <w:t>αιτούντες,</w:t>
      </w:r>
      <w:r>
        <w:rPr>
          <w:spacing w:val="29"/>
        </w:rPr>
        <w:t xml:space="preserve"> </w:t>
      </w:r>
      <w:r>
        <w:rPr>
          <w:spacing w:val="-5"/>
        </w:rPr>
        <w:t>το</w:t>
      </w:r>
    </w:p>
    <w:p w:rsidR="00AE53B7" w:rsidRDefault="00AE53B7">
      <w:pPr>
        <w:spacing w:line="276" w:lineRule="auto"/>
        <w:jc w:val="both"/>
        <w:sectPr w:rsidR="00AE53B7">
          <w:type w:val="continuous"/>
          <w:pgSz w:w="11910" w:h="16840"/>
          <w:pgMar w:top="640" w:right="820" w:bottom="1160" w:left="1460" w:header="0" w:footer="971" w:gutter="0"/>
          <w:cols w:space="720"/>
        </w:sectPr>
      </w:pPr>
    </w:p>
    <w:p w:rsidR="00AE53B7" w:rsidRDefault="003165AF">
      <w:pPr>
        <w:pStyle w:val="a3"/>
        <w:spacing w:before="72" w:line="276" w:lineRule="auto"/>
        <w:ind w:left="100"/>
      </w:pPr>
      <w:r>
        <w:lastRenderedPageBreak/>
        <w:t>οποίο</w:t>
      </w:r>
      <w:r>
        <w:rPr>
          <w:spacing w:val="24"/>
        </w:rPr>
        <w:t xml:space="preserve"> </w:t>
      </w:r>
      <w:r>
        <w:t>συνεπάγεται</w:t>
      </w:r>
      <w:r>
        <w:rPr>
          <w:spacing w:val="24"/>
        </w:rPr>
        <w:t xml:space="preserve"> </w:t>
      </w:r>
      <w:r>
        <w:t>ότι</w:t>
      </w:r>
      <w:r>
        <w:rPr>
          <w:spacing w:val="24"/>
        </w:rPr>
        <w:t xml:space="preserve"> </w:t>
      </w:r>
      <w:r>
        <w:t>περισσότεροι</w:t>
      </w:r>
      <w:r>
        <w:rPr>
          <w:spacing w:val="24"/>
        </w:rPr>
        <w:t xml:space="preserve"> </w:t>
      </w:r>
      <w:r>
        <w:t>από</w:t>
      </w:r>
      <w:r>
        <w:rPr>
          <w:spacing w:val="24"/>
        </w:rPr>
        <w:t xml:space="preserve"> </w:t>
      </w:r>
      <w:r>
        <w:t>2.500</w:t>
      </w:r>
      <w:r>
        <w:rPr>
          <w:spacing w:val="24"/>
        </w:rPr>
        <w:t xml:space="preserve"> </w:t>
      </w:r>
      <w:r>
        <w:t>ωφελούμενοι</w:t>
      </w:r>
      <w:r>
        <w:rPr>
          <w:spacing w:val="24"/>
        </w:rPr>
        <w:t xml:space="preserve"> </w:t>
      </w:r>
      <w:r>
        <w:t>θα</w:t>
      </w:r>
      <w:r>
        <w:rPr>
          <w:spacing w:val="24"/>
        </w:rPr>
        <w:t xml:space="preserve"> </w:t>
      </w:r>
      <w:r>
        <w:t>ζουν</w:t>
      </w:r>
      <w:r>
        <w:rPr>
          <w:spacing w:val="24"/>
        </w:rPr>
        <w:t xml:space="preserve"> </w:t>
      </w:r>
      <w:r>
        <w:t>σε</w:t>
      </w:r>
      <w:r>
        <w:rPr>
          <w:spacing w:val="23"/>
        </w:rPr>
        <w:t xml:space="preserve"> </w:t>
      </w:r>
      <w:r>
        <w:t>προσιτή</w:t>
      </w:r>
      <w:r>
        <w:rPr>
          <w:spacing w:val="24"/>
        </w:rPr>
        <w:t xml:space="preserve"> </w:t>
      </w:r>
      <w:r>
        <w:t>και</w:t>
      </w:r>
      <w:r>
        <w:rPr>
          <w:spacing w:val="24"/>
        </w:rPr>
        <w:t xml:space="preserve"> </w:t>
      </w:r>
      <w:r>
        <w:t xml:space="preserve">ποιοτική </w:t>
      </w:r>
      <w:r>
        <w:rPr>
          <w:spacing w:val="-2"/>
        </w:rPr>
        <w:t>στέγη.</w:t>
      </w:r>
    </w:p>
    <w:p w:rsidR="00AE53B7" w:rsidRDefault="00AE53B7">
      <w:pPr>
        <w:pStyle w:val="a3"/>
        <w:spacing w:before="39"/>
      </w:pPr>
    </w:p>
    <w:p w:rsidR="00AE53B7" w:rsidRDefault="003165AF">
      <w:pPr>
        <w:pStyle w:val="a3"/>
        <w:spacing w:line="276" w:lineRule="auto"/>
        <w:ind w:left="100" w:right="167" w:firstLine="206"/>
        <w:jc w:val="both"/>
      </w:pPr>
      <w:r>
        <w:t>Τα αποτελέσματα αυτά αξιολογούνται και ανοίγουν τον δρόμο, ώστε να διερευνηθεί η δυνατότητα κάλυψης μεγαλύτερου αριθμού ωφελουμένων σε μελλοντικά στεγαστικά προγράμματα, πάντα σε συνάρτηση με τα δημοσιονομικά δεδομένα.</w:t>
      </w:r>
    </w:p>
    <w:p w:rsidR="00AE53B7" w:rsidRDefault="00AE53B7">
      <w:pPr>
        <w:pStyle w:val="a3"/>
        <w:spacing w:before="40"/>
      </w:pPr>
    </w:p>
    <w:p w:rsidR="00AE53B7" w:rsidRDefault="003165AF">
      <w:pPr>
        <w:pStyle w:val="a3"/>
        <w:spacing w:line="276" w:lineRule="auto"/>
        <w:ind w:left="100"/>
      </w:pPr>
      <w:r>
        <w:t>Σε</w:t>
      </w:r>
      <w:r>
        <w:rPr>
          <w:spacing w:val="73"/>
        </w:rPr>
        <w:t xml:space="preserve"> </w:t>
      </w:r>
      <w:r>
        <w:t>ό,τι</w:t>
      </w:r>
      <w:r>
        <w:rPr>
          <w:spacing w:val="73"/>
        </w:rPr>
        <w:t xml:space="preserve"> </w:t>
      </w:r>
      <w:r>
        <w:t>αφορά</w:t>
      </w:r>
      <w:r>
        <w:rPr>
          <w:spacing w:val="73"/>
        </w:rPr>
        <w:t xml:space="preserve"> </w:t>
      </w:r>
      <w:r>
        <w:t>τα</w:t>
      </w:r>
      <w:r>
        <w:rPr>
          <w:spacing w:val="73"/>
        </w:rPr>
        <w:t xml:space="preserve"> </w:t>
      </w:r>
      <w:r>
        <w:t>υπόλοιπα</w:t>
      </w:r>
      <w:r>
        <w:rPr>
          <w:spacing w:val="73"/>
        </w:rPr>
        <w:t xml:space="preserve"> </w:t>
      </w:r>
      <w:r>
        <w:t>μέτρα</w:t>
      </w:r>
      <w:r>
        <w:rPr>
          <w:spacing w:val="73"/>
        </w:rPr>
        <w:t xml:space="preserve"> </w:t>
      </w:r>
      <w:r>
        <w:t>που</w:t>
      </w:r>
      <w:r>
        <w:rPr>
          <w:spacing w:val="73"/>
        </w:rPr>
        <w:t xml:space="preserve"> </w:t>
      </w:r>
      <w:r>
        <w:t>έχουν</w:t>
      </w:r>
      <w:r>
        <w:rPr>
          <w:spacing w:val="72"/>
        </w:rPr>
        <w:t xml:space="preserve"> </w:t>
      </w:r>
      <w:r>
        <w:t>ληφθεί</w:t>
      </w:r>
      <w:r>
        <w:rPr>
          <w:spacing w:val="72"/>
        </w:rPr>
        <w:t xml:space="preserve"> </w:t>
      </w:r>
      <w:r>
        <w:t>υπέρ</w:t>
      </w:r>
      <w:r>
        <w:rPr>
          <w:spacing w:val="72"/>
        </w:rPr>
        <w:t xml:space="preserve"> </w:t>
      </w:r>
      <w:r>
        <w:t>των</w:t>
      </w:r>
      <w:r>
        <w:rPr>
          <w:spacing w:val="73"/>
        </w:rPr>
        <w:t xml:space="preserve"> </w:t>
      </w:r>
      <w:r>
        <w:t>πολύτεκνων</w:t>
      </w:r>
      <w:r>
        <w:rPr>
          <w:spacing w:val="72"/>
        </w:rPr>
        <w:t xml:space="preserve"> </w:t>
      </w:r>
      <w:r>
        <w:t>οικογενειών αναφέρουμε τα εξής:</w:t>
      </w:r>
    </w:p>
    <w:p w:rsidR="00AE53B7" w:rsidRDefault="00AE53B7">
      <w:pPr>
        <w:pStyle w:val="a3"/>
        <w:spacing w:before="40"/>
      </w:pPr>
    </w:p>
    <w:p w:rsidR="00AE53B7" w:rsidRDefault="003165AF">
      <w:pPr>
        <w:pStyle w:val="a4"/>
        <w:numPr>
          <w:ilvl w:val="0"/>
          <w:numId w:val="2"/>
        </w:numPr>
        <w:tabs>
          <w:tab w:val="left" w:pos="807"/>
        </w:tabs>
        <w:spacing w:line="276" w:lineRule="auto"/>
        <w:ind w:right="168" w:firstLine="0"/>
      </w:pPr>
      <w:r>
        <w:t>Αύξηση του επιδόματος γέννησης στα 3.500€ για όσες γυναίκες γεννούν 4 και άνω παιδιά. Για το 2023 χορηγήθηκαν επιδόματα συνολικού ύψους (μαζί με τα αναδρομικά της αύξησης) 8.179.500 ευρώ</w:t>
      </w:r>
      <w:r>
        <w:rPr>
          <w:spacing w:val="40"/>
        </w:rPr>
        <w:t xml:space="preserve"> </w:t>
      </w:r>
      <w:r>
        <w:t xml:space="preserve">σε </w:t>
      </w:r>
      <w:r>
        <w:t>2.337 μητέρες, ενώ για το 2024 κατά μ.ο. χορηγούνται μηνιαίως επιδόματα σε 180 μητέρες που γέννησαν 4</w:t>
      </w:r>
      <w:r>
        <w:rPr>
          <w:position w:val="7"/>
          <w:sz w:val="14"/>
        </w:rPr>
        <w:t>ο</w:t>
      </w:r>
      <w:r>
        <w:rPr>
          <w:spacing w:val="40"/>
          <w:position w:val="7"/>
          <w:sz w:val="14"/>
        </w:rPr>
        <w:t xml:space="preserve"> </w:t>
      </w:r>
      <w:r>
        <w:t>και άνω παιδί. Θυμίζουμε ότι η αύξηση αυτή κατέλαβε όσες γυναίκες γέννησαν από 01/01/2023.</w:t>
      </w:r>
    </w:p>
    <w:p w:rsidR="00AE53B7" w:rsidRDefault="00AE53B7">
      <w:pPr>
        <w:pStyle w:val="a3"/>
        <w:spacing w:before="39"/>
      </w:pPr>
    </w:p>
    <w:p w:rsidR="00AE53B7" w:rsidRDefault="003165AF">
      <w:pPr>
        <w:pStyle w:val="a4"/>
        <w:numPr>
          <w:ilvl w:val="0"/>
          <w:numId w:val="2"/>
        </w:numPr>
        <w:tabs>
          <w:tab w:val="left" w:pos="807"/>
        </w:tabs>
        <w:spacing w:before="1" w:line="276" w:lineRule="auto"/>
        <w:ind w:firstLine="0"/>
      </w:pPr>
      <w:r>
        <w:t>Το επίδομα παιδιού καταβάλλεται στοχευμένα στις οικογένειες μ</w:t>
      </w:r>
      <w:r>
        <w:t>ε παιδιά, που αντιμετωπίζουν μεγαλύτερη ανάγκη και για το λόγο αυτό υπολογίζεται βάσει</w:t>
      </w:r>
      <w:r>
        <w:rPr>
          <w:spacing w:val="40"/>
        </w:rPr>
        <w:t xml:space="preserve"> </w:t>
      </w:r>
      <w:r>
        <w:t>κλιμακούμενου εισοδηματικού κριτηρίου για την ενίσχυση των ασθενέστερων οικονομικά δικαιούχων. Μάλιστα, από 1/1/2024 υπάρχει αύξηση του επιδόματος παιδιού, η οποία επηρέ</w:t>
      </w:r>
      <w:r>
        <w:t>ασε και τις πολύτεκνες οικογένειες.</w:t>
      </w:r>
      <w:r>
        <w:rPr>
          <w:spacing w:val="24"/>
        </w:rPr>
        <w:t xml:space="preserve"> </w:t>
      </w:r>
      <w:r>
        <w:t>Ειδικότερα,</w:t>
      </w:r>
      <w:r>
        <w:rPr>
          <w:spacing w:val="24"/>
        </w:rPr>
        <w:t xml:space="preserve"> </w:t>
      </w:r>
      <w:r>
        <w:t>για</w:t>
      </w:r>
      <w:r>
        <w:rPr>
          <w:spacing w:val="24"/>
        </w:rPr>
        <w:t xml:space="preserve"> </w:t>
      </w:r>
      <w:r>
        <w:t>τέσσερα</w:t>
      </w:r>
      <w:r>
        <w:rPr>
          <w:spacing w:val="24"/>
        </w:rPr>
        <w:t xml:space="preserve"> </w:t>
      </w:r>
      <w:r>
        <w:t>παιδιά</w:t>
      </w:r>
      <w:r>
        <w:rPr>
          <w:spacing w:val="23"/>
        </w:rPr>
        <w:t xml:space="preserve"> </w:t>
      </w:r>
      <w:r>
        <w:t>(και</w:t>
      </w:r>
      <w:r>
        <w:rPr>
          <w:spacing w:val="24"/>
        </w:rPr>
        <w:t xml:space="preserve"> </w:t>
      </w:r>
      <w:r>
        <w:t>άνω),</w:t>
      </w:r>
      <w:r>
        <w:rPr>
          <w:spacing w:val="23"/>
        </w:rPr>
        <w:t xml:space="preserve"> </w:t>
      </w:r>
      <w:r>
        <w:t>οι</w:t>
      </w:r>
      <w:r>
        <w:rPr>
          <w:spacing w:val="25"/>
        </w:rPr>
        <w:t xml:space="preserve"> </w:t>
      </w:r>
      <w:r>
        <w:t>δικαιούχοι</w:t>
      </w:r>
      <w:r>
        <w:rPr>
          <w:spacing w:val="24"/>
        </w:rPr>
        <w:t xml:space="preserve"> </w:t>
      </w:r>
      <w:r>
        <w:t>λαμβάνουν</w:t>
      </w:r>
      <w:r>
        <w:rPr>
          <w:spacing w:val="23"/>
        </w:rPr>
        <w:t xml:space="preserve"> </w:t>
      </w:r>
      <w:r>
        <w:t>220</w:t>
      </w:r>
      <w:r>
        <w:rPr>
          <w:spacing w:val="24"/>
        </w:rPr>
        <w:t xml:space="preserve"> </w:t>
      </w:r>
      <w:r>
        <w:t>ευρώ</w:t>
      </w:r>
      <w:r>
        <w:rPr>
          <w:spacing w:val="25"/>
        </w:rPr>
        <w:t xml:space="preserve"> </w:t>
      </w:r>
      <w:r>
        <w:rPr>
          <w:spacing w:val="-5"/>
        </w:rPr>
        <w:t>από</w:t>
      </w:r>
    </w:p>
    <w:p w:rsidR="00AE53B7" w:rsidRDefault="003165AF">
      <w:pPr>
        <w:pStyle w:val="a3"/>
        <w:spacing w:line="276" w:lineRule="auto"/>
        <w:ind w:left="100" w:right="169"/>
        <w:jc w:val="both"/>
      </w:pPr>
      <w:r>
        <w:t>170 ευρώ, με ετήσιο όφελος 600 €. Για το 2023 δόθηκαν 77.194.481 ευρώ σε 18.714 δικαιούχους με τέσσερα παιδιά και άνω, ενώ τον μήνα Ιούλιο δόθηκαν 12.000.000 € σε 16.000 δικαιούχους με τέσσερα παιδιά και άνω.</w:t>
      </w:r>
    </w:p>
    <w:p w:rsidR="00AE53B7" w:rsidRDefault="00AE53B7">
      <w:pPr>
        <w:pStyle w:val="a3"/>
        <w:spacing w:before="39"/>
      </w:pPr>
    </w:p>
    <w:p w:rsidR="00AE53B7" w:rsidRDefault="003165AF">
      <w:pPr>
        <w:pStyle w:val="a4"/>
        <w:numPr>
          <w:ilvl w:val="0"/>
          <w:numId w:val="2"/>
        </w:numPr>
        <w:tabs>
          <w:tab w:val="left" w:pos="807"/>
        </w:tabs>
        <w:spacing w:line="276" w:lineRule="auto"/>
        <w:ind w:firstLine="0"/>
      </w:pPr>
      <w:r>
        <w:t>Στα προγράμματα του Λογαριασμού Αγροτικής Εστί</w:t>
      </w:r>
      <w:r>
        <w:t>ας</w:t>
      </w:r>
      <w:r>
        <w:rPr>
          <w:spacing w:val="40"/>
        </w:rPr>
        <w:t xml:space="preserve"> </w:t>
      </w:r>
      <w:r>
        <w:t>ΛΑΕ-ΟΠΕΚΑ του έτους 2024 συμπεριλαμβάνεται</w:t>
      </w:r>
      <w:r>
        <w:rPr>
          <w:spacing w:val="40"/>
        </w:rPr>
        <w:t xml:space="preserve"> </w:t>
      </w:r>
      <w:r>
        <w:t>και το πρόγραμμα παροχής χρηματικών βοηθημάτων σε πολύτεκνες μητέρες. Το πρόγραμμα απευθύνεται σε 1.000 πολύτεκνες μητέρες .Το ποσό που χορηγείται ανέρχεται σε 1.000€ σε κάθε μία από τις χίλιες πολύτεκνες μητέρ</w:t>
      </w:r>
      <w:r>
        <w:t>ες, 1.000.000€ δηλαδή.</w:t>
      </w:r>
    </w:p>
    <w:p w:rsidR="00AE53B7" w:rsidRDefault="00AE53B7">
      <w:pPr>
        <w:pStyle w:val="a3"/>
      </w:pPr>
    </w:p>
    <w:p w:rsidR="00AE53B7" w:rsidRDefault="00AE53B7">
      <w:pPr>
        <w:pStyle w:val="a3"/>
        <w:spacing w:before="80"/>
      </w:pPr>
    </w:p>
    <w:p w:rsidR="00AE53B7" w:rsidRDefault="003165AF">
      <w:pPr>
        <w:pStyle w:val="a4"/>
        <w:numPr>
          <w:ilvl w:val="0"/>
          <w:numId w:val="2"/>
        </w:numPr>
        <w:tabs>
          <w:tab w:val="left" w:pos="807"/>
        </w:tabs>
        <w:spacing w:line="276" w:lineRule="auto"/>
        <w:ind w:firstLine="0"/>
      </w:pPr>
      <w:r>
        <w:t>Με την αναπροσαρμογή της έκπτωσης φόρου αυξήθηκε το αφορολόγητο κατά 1.000 ευρώ για οικογένειες που έχουν παιδιά. Αυτό συνεπάγεται ότι μια οικογένεια με τέσσερα παιδιά, από έκπτωση φόρου ύψους 1.340€ που είχε το 2023, το 2024 θα έχ</w:t>
      </w:r>
      <w:r>
        <w:t>ει έκπτωση φόρου 1.580€, με το ετήσιο όφελος να ανέρχεται σε 240€.</w:t>
      </w:r>
    </w:p>
    <w:p w:rsidR="00AE53B7" w:rsidRDefault="00AE53B7">
      <w:pPr>
        <w:pStyle w:val="a3"/>
        <w:spacing w:before="39"/>
      </w:pPr>
    </w:p>
    <w:p w:rsidR="00AE53B7" w:rsidRDefault="003165AF">
      <w:pPr>
        <w:pStyle w:val="a4"/>
        <w:numPr>
          <w:ilvl w:val="0"/>
          <w:numId w:val="2"/>
        </w:numPr>
        <w:tabs>
          <w:tab w:val="left" w:pos="807"/>
        </w:tabs>
        <w:spacing w:before="1" w:line="276" w:lineRule="auto"/>
        <w:ind w:right="168" w:firstLine="0"/>
      </w:pPr>
      <w:r>
        <w:t>Μειώθηκε ο ΦΠΑ για βρεφικά είδη από 24% σε 13%, γεγονός που επηρέασε έμμεσα και τις πολύτεκνες οικογένειες.</w:t>
      </w:r>
    </w:p>
    <w:p w:rsidR="00AE53B7" w:rsidRDefault="00AE53B7">
      <w:pPr>
        <w:pStyle w:val="a3"/>
      </w:pPr>
    </w:p>
    <w:p w:rsidR="00AE53B7" w:rsidRDefault="00AE53B7">
      <w:pPr>
        <w:pStyle w:val="a3"/>
        <w:spacing w:before="79"/>
      </w:pPr>
    </w:p>
    <w:p w:rsidR="00AE53B7" w:rsidRDefault="003165AF">
      <w:pPr>
        <w:pStyle w:val="a4"/>
        <w:numPr>
          <w:ilvl w:val="0"/>
          <w:numId w:val="2"/>
        </w:numPr>
        <w:tabs>
          <w:tab w:val="left" w:pos="807"/>
        </w:tabs>
        <w:spacing w:line="276" w:lineRule="auto"/>
        <w:ind w:right="168" w:firstLine="0"/>
      </w:pPr>
      <w:r>
        <w:t>Καταργήθηκε για τους πολύτεκνους ο Φόρος Πολυτελούς Διαβίωσης για εξαθέσιο και</w:t>
      </w:r>
      <w:r>
        <w:rPr>
          <w:spacing w:val="40"/>
        </w:rPr>
        <w:t xml:space="preserve"> </w:t>
      </w:r>
      <w:r>
        <w:t>άνω επιβατικό ΙΧ, όπως έχει ήδη προβλεφθεί για τα άτομα με αναπηρία, λόγω των</w:t>
      </w:r>
      <w:r>
        <w:rPr>
          <w:spacing w:val="40"/>
        </w:rPr>
        <w:t xml:space="preserve"> </w:t>
      </w:r>
      <w:r>
        <w:t>οικογενειακών αναγκών μεταφοράς και όχι για όλους πολυτέλειας.</w:t>
      </w:r>
    </w:p>
    <w:p w:rsidR="00AE53B7" w:rsidRDefault="00AE53B7">
      <w:pPr>
        <w:pStyle w:val="a3"/>
        <w:spacing w:before="40"/>
      </w:pPr>
    </w:p>
    <w:p w:rsidR="00AE53B7" w:rsidRDefault="003165AF">
      <w:pPr>
        <w:pStyle w:val="a4"/>
        <w:numPr>
          <w:ilvl w:val="0"/>
          <w:numId w:val="2"/>
        </w:numPr>
        <w:tabs>
          <w:tab w:val="left" w:pos="807"/>
        </w:tabs>
        <w:spacing w:line="276" w:lineRule="auto"/>
        <w:ind w:right="169" w:firstLine="0"/>
      </w:pPr>
      <w:r>
        <w:t>Διευρύνθηκε το κατασκηνωτικό πρόγραμμα για παιδιά, ηλικιωμένους και άτομα με αναπηρία Οικογένειας αυξάνοντας σημα</w:t>
      </w:r>
      <w:r>
        <w:t>ντικά τον αριθμό των ωφελούμενων από τις 12.350 στις</w:t>
      </w:r>
    </w:p>
    <w:p w:rsidR="00AE53B7" w:rsidRDefault="00AE53B7">
      <w:pPr>
        <w:spacing w:line="276" w:lineRule="auto"/>
        <w:jc w:val="both"/>
        <w:sectPr w:rsidR="00AE53B7">
          <w:pgSz w:w="11910" w:h="16840"/>
          <w:pgMar w:top="860" w:right="820" w:bottom="1160" w:left="1460" w:header="0" w:footer="971" w:gutter="0"/>
          <w:cols w:space="720"/>
        </w:sectPr>
      </w:pPr>
    </w:p>
    <w:p w:rsidR="00AE53B7" w:rsidRDefault="003165AF">
      <w:pPr>
        <w:pStyle w:val="a3"/>
        <w:spacing w:before="72" w:line="276" w:lineRule="auto"/>
        <w:ind w:left="100" w:right="170"/>
        <w:jc w:val="both"/>
      </w:pPr>
      <w:r>
        <w:lastRenderedPageBreak/>
        <w:t>13.595. Η συμμετοχή των παιδιών των πολύτεκνων οικογενειών</w:t>
      </w:r>
      <w:r>
        <w:rPr>
          <w:spacing w:val="40"/>
        </w:rPr>
        <w:t xml:space="preserve"> </w:t>
      </w:r>
      <w:r>
        <w:t>στις Παιδικές Εξοχές</w:t>
      </w:r>
      <w:r>
        <w:rPr>
          <w:spacing w:val="40"/>
        </w:rPr>
        <w:t xml:space="preserve"> </w:t>
      </w:r>
      <w:r>
        <w:t>του Κρατικού Προγράμματος γίνεται δωρεάν, χωρίς την καταβολή ποσού συμμετοχής.</w:t>
      </w:r>
    </w:p>
    <w:p w:rsidR="00AE53B7" w:rsidRDefault="00AE53B7">
      <w:pPr>
        <w:pStyle w:val="a3"/>
      </w:pPr>
    </w:p>
    <w:p w:rsidR="00AE53B7" w:rsidRDefault="00AE53B7">
      <w:pPr>
        <w:pStyle w:val="a3"/>
        <w:spacing w:before="79"/>
      </w:pPr>
    </w:p>
    <w:p w:rsidR="00AE53B7" w:rsidRDefault="003165AF">
      <w:pPr>
        <w:pStyle w:val="a4"/>
        <w:numPr>
          <w:ilvl w:val="0"/>
          <w:numId w:val="1"/>
        </w:numPr>
        <w:tabs>
          <w:tab w:val="left" w:pos="807"/>
        </w:tabs>
        <w:spacing w:line="276" w:lineRule="auto"/>
        <w:ind w:firstLine="0"/>
      </w:pPr>
      <w:r>
        <w:t>Σε συνεργασία με το Υπουργείο Ψηφιακής Διακυβέρνησης, οι πολύτεκνοι πλέον</w:t>
      </w:r>
      <w:r>
        <w:rPr>
          <w:spacing w:val="80"/>
        </w:rPr>
        <w:t xml:space="preserve"> </w:t>
      </w:r>
      <w:r>
        <w:t xml:space="preserve">αιτούνται και λαμβάνουν το Πιστοποιητικό Πολυτεκνικής Ιδιότητας (ΠΠΙ) που εκδίδει η Ανώτατη Συνομοσπονδία Πολυτέκνων Ελλάδος, βάσει της κείμενης νομοθεσίας, στη θυρίδα τους στο </w:t>
      </w:r>
      <w:r>
        <w:rPr>
          <w:spacing w:val="-2"/>
        </w:rPr>
        <w:t>gov.g</w:t>
      </w:r>
      <w:r>
        <w:rPr>
          <w:spacing w:val="-2"/>
        </w:rPr>
        <w:t>r.</w:t>
      </w:r>
    </w:p>
    <w:p w:rsidR="00AE53B7" w:rsidRDefault="00AE53B7">
      <w:pPr>
        <w:pStyle w:val="a3"/>
        <w:spacing w:before="40"/>
      </w:pPr>
    </w:p>
    <w:p w:rsidR="00AE53B7" w:rsidRDefault="003165AF">
      <w:pPr>
        <w:pStyle w:val="a4"/>
        <w:numPr>
          <w:ilvl w:val="0"/>
          <w:numId w:val="1"/>
        </w:numPr>
        <w:tabs>
          <w:tab w:val="left" w:pos="807"/>
        </w:tabs>
        <w:spacing w:line="276" w:lineRule="auto"/>
        <w:ind w:firstLine="0"/>
      </w:pPr>
      <w:r>
        <w:t>Σε συνεργασία με το Υπουργείο Περιβάλλοντος και Ενέργειας δημιουργήθηκε μια νέα τρίτη κατηγορία Κοινωνικού Οικιακού Τιμολογίου (ΚΟΤ Γ). Ειδικότερα, θεσπίζεται για τις πολύτεκνες οικογένειες ένα νέο ειδικό τιμολόγιο ηλεκτρικής ενέργειας με σκοπό να μειω</w:t>
      </w:r>
      <w:r>
        <w:t>θεί δραστικά το ενεργειακό τους κόστος.</w:t>
      </w:r>
    </w:p>
    <w:p w:rsidR="00AE53B7" w:rsidRDefault="00AE53B7">
      <w:pPr>
        <w:pStyle w:val="a3"/>
        <w:spacing w:before="39"/>
      </w:pPr>
    </w:p>
    <w:p w:rsidR="00AE53B7" w:rsidRDefault="003165AF">
      <w:pPr>
        <w:pStyle w:val="a4"/>
        <w:numPr>
          <w:ilvl w:val="0"/>
          <w:numId w:val="1"/>
        </w:numPr>
        <w:tabs>
          <w:tab w:val="left" w:pos="807"/>
        </w:tabs>
        <w:spacing w:before="1" w:line="276" w:lineRule="auto"/>
        <w:ind w:firstLine="0"/>
      </w:pPr>
      <w:r>
        <w:t>Τα εισοδηματικά κριτήρια που εφαρμόζονται για την ένταξη των πολύτεκων οικογενειών είναι ιδιαίτερα διευρυμένα. Ειδικότερα, για οικογένεια με τέσσερα εξαρτώμενα τέκνα, το</w:t>
      </w:r>
      <w:r>
        <w:rPr>
          <w:spacing w:val="40"/>
        </w:rPr>
        <w:t xml:space="preserve"> </w:t>
      </w:r>
      <w:r>
        <w:t xml:space="preserve">ανώτατο ετήσιο εισοδηματικό όριο ορίζεται σε </w:t>
      </w:r>
      <w:r>
        <w:t>50.000€, ενώ για κάθε επιπλέον εξαρτώμενο τέκνο προστίθεται το ποσό των 2.500€, μέχρι του συνολικού ορίου των 70.000€ ανεξαρτήτως του αριθμού των μελών της οικογενείας, με αποτέλεσμα το 95% των οικογενειών με τέσσερα τέκνα και άνω να καθίστανται δικαιούχοι</w:t>
      </w:r>
      <w:r>
        <w:t>.</w:t>
      </w:r>
    </w:p>
    <w:p w:rsidR="00AE53B7" w:rsidRDefault="00AE53B7">
      <w:pPr>
        <w:pStyle w:val="a3"/>
      </w:pPr>
    </w:p>
    <w:p w:rsidR="00AE53B7" w:rsidRDefault="00AE53B7">
      <w:pPr>
        <w:pStyle w:val="a3"/>
        <w:spacing w:before="79"/>
      </w:pPr>
    </w:p>
    <w:p w:rsidR="00AE53B7" w:rsidRDefault="003165AF">
      <w:pPr>
        <w:pStyle w:val="a3"/>
        <w:spacing w:line="276" w:lineRule="auto"/>
        <w:ind w:left="100" w:right="167"/>
        <w:jc w:val="both"/>
      </w:pPr>
      <w:r>
        <w:t>Σε μία περίοδο μεγάλων προκλήσεων το κράτος έχει την θεμελιώδη υποχρέωση να μπορεί να εγγυηθεί την ασφάλεια ιδιαίτερα απέναντι σε αυτήν την πληθυσμιακή ομάδα, που έχει σημαντικές ανάγκες.</w:t>
      </w:r>
      <w:r>
        <w:rPr>
          <w:spacing w:val="40"/>
        </w:rPr>
        <w:t xml:space="preserve"> </w:t>
      </w:r>
      <w:r>
        <w:t>Το Υπουργείο Κοινωνικής Συνοχής και Οικογένειας αφουγκράζεται τι</w:t>
      </w:r>
      <w:r>
        <w:t xml:space="preserve">ς προτάσεις των πολιτών αλλά και τις ανάγκες τους, ώστε να προχωρήσουμε με τόλμη στο </w:t>
      </w:r>
      <w:r>
        <w:rPr>
          <w:spacing w:val="-2"/>
        </w:rPr>
        <w:t>μέλλον.</w:t>
      </w:r>
    </w:p>
    <w:p w:rsidR="00AE53B7" w:rsidRDefault="00AE53B7">
      <w:pPr>
        <w:pStyle w:val="a3"/>
        <w:spacing w:before="40"/>
      </w:pPr>
    </w:p>
    <w:p w:rsidR="00AE53B7" w:rsidRDefault="003165AF">
      <w:pPr>
        <w:ind w:left="6287"/>
        <w:rPr>
          <w:b/>
        </w:rPr>
      </w:pPr>
      <w:r>
        <w:rPr>
          <w:b/>
        </w:rPr>
        <w:t>Η</w:t>
      </w:r>
      <w:r>
        <w:rPr>
          <w:b/>
          <w:spacing w:val="-1"/>
        </w:rPr>
        <w:t xml:space="preserve"> </w:t>
      </w:r>
      <w:r>
        <w:rPr>
          <w:b/>
          <w:spacing w:val="-2"/>
        </w:rPr>
        <w:t>ΥΠΟΥΡΓΟΣ</w:t>
      </w:r>
    </w:p>
    <w:p w:rsidR="00AE53B7" w:rsidRDefault="00AE53B7">
      <w:pPr>
        <w:pStyle w:val="a3"/>
        <w:rPr>
          <w:b/>
        </w:rPr>
      </w:pPr>
    </w:p>
    <w:p w:rsidR="00AE53B7" w:rsidRDefault="00AE53B7">
      <w:pPr>
        <w:pStyle w:val="a3"/>
        <w:rPr>
          <w:b/>
        </w:rPr>
      </w:pPr>
    </w:p>
    <w:p w:rsidR="00AE53B7" w:rsidRDefault="00AE53B7">
      <w:pPr>
        <w:pStyle w:val="a3"/>
        <w:spacing w:before="40"/>
        <w:rPr>
          <w:b/>
        </w:rPr>
      </w:pPr>
    </w:p>
    <w:p w:rsidR="00AE53B7" w:rsidRDefault="003165AF">
      <w:pPr>
        <w:ind w:left="6094"/>
        <w:rPr>
          <w:b/>
        </w:rPr>
      </w:pPr>
      <w:r>
        <w:rPr>
          <w:b/>
        </w:rPr>
        <w:t>ΣΟΦΙΑ</w:t>
      </w:r>
      <w:r>
        <w:rPr>
          <w:b/>
          <w:spacing w:val="-4"/>
        </w:rPr>
        <w:t xml:space="preserve"> </w:t>
      </w:r>
      <w:r>
        <w:rPr>
          <w:b/>
          <w:spacing w:val="-2"/>
        </w:rPr>
        <w:t>ΖΑΧΑΡΑΚΗ</w:t>
      </w:r>
    </w:p>
    <w:sectPr w:rsidR="00AE53B7" w:rsidSect="00AE53B7">
      <w:pgSz w:w="11910" w:h="16840"/>
      <w:pgMar w:top="860" w:right="820" w:bottom="1160" w:left="1460" w:header="0" w:footer="97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5AF" w:rsidRDefault="003165AF" w:rsidP="00AE53B7">
      <w:r>
        <w:separator/>
      </w:r>
    </w:p>
  </w:endnote>
  <w:endnote w:type="continuationSeparator" w:id="0">
    <w:p w:rsidR="003165AF" w:rsidRDefault="003165AF" w:rsidP="00AE53B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3B7" w:rsidRDefault="00AE53B7">
    <w:pPr>
      <w:pStyle w:val="a3"/>
      <w:spacing w:line="14" w:lineRule="auto"/>
      <w:rPr>
        <w:sz w:val="20"/>
      </w:rPr>
    </w:pPr>
    <w:r w:rsidRPr="00AE53B7">
      <w:pict>
        <v:shapetype id="_x0000_t202" coordsize="21600,21600" o:spt="202" path="m,l,21600r21600,l21600,xe">
          <v:stroke joinstyle="miter"/>
          <v:path gradientshapeok="t" o:connecttype="rect"/>
        </v:shapetype>
        <v:shape id="docshape1" o:spid="_x0000_s1026" type="#_x0000_t202" style="position:absolute;margin-left:77pt;margin-top:782.35pt;width:62.35pt;height:13.1pt;z-index:-15789056;mso-position-horizontal-relative:page;mso-position-vertical-relative:page" filled="f" stroked="f">
          <v:textbox inset="0,0,0,0">
            <w:txbxContent>
              <w:p w:rsidR="00AE53B7" w:rsidRDefault="003165AF">
                <w:pPr>
                  <w:spacing w:before="11"/>
                  <w:ind w:left="20"/>
                  <w:rPr>
                    <w:rFonts w:ascii="Times New Roman" w:hAnsi="Times New Roman"/>
                    <w:sz w:val="20"/>
                  </w:rPr>
                </w:pPr>
                <w:r>
                  <w:rPr>
                    <w:rFonts w:ascii="Times New Roman" w:hAnsi="Times New Roman"/>
                    <w:sz w:val="20"/>
                  </w:rPr>
                  <w:t xml:space="preserve">Σελίδα </w:t>
                </w:r>
                <w:r w:rsidR="00AE53B7">
                  <w:rPr>
                    <w:rFonts w:ascii="Times New Roman" w:hAnsi="Times New Roman"/>
                    <w:sz w:val="20"/>
                  </w:rPr>
                  <w:fldChar w:fldCharType="begin"/>
                </w:r>
                <w:r>
                  <w:rPr>
                    <w:rFonts w:ascii="Times New Roman" w:hAnsi="Times New Roman"/>
                    <w:sz w:val="20"/>
                  </w:rPr>
                  <w:instrText xml:space="preserve"> PAGE </w:instrText>
                </w:r>
                <w:r w:rsidR="00AE53B7">
                  <w:rPr>
                    <w:rFonts w:ascii="Times New Roman" w:hAnsi="Times New Roman"/>
                    <w:sz w:val="20"/>
                  </w:rPr>
                  <w:fldChar w:fldCharType="separate"/>
                </w:r>
                <w:r w:rsidR="0082762B">
                  <w:rPr>
                    <w:rFonts w:ascii="Times New Roman" w:hAnsi="Times New Roman"/>
                    <w:noProof/>
                    <w:sz w:val="20"/>
                  </w:rPr>
                  <w:t>1</w:t>
                </w:r>
                <w:r w:rsidR="00AE53B7">
                  <w:rPr>
                    <w:rFonts w:ascii="Times New Roman" w:hAnsi="Times New Roman"/>
                    <w:sz w:val="20"/>
                  </w:rPr>
                  <w:fldChar w:fldCharType="end"/>
                </w:r>
                <w:r>
                  <w:rPr>
                    <w:rFonts w:ascii="Times New Roman" w:hAnsi="Times New Roman"/>
                    <w:sz w:val="20"/>
                  </w:rPr>
                  <w:t xml:space="preserve"> από </w:t>
                </w:r>
                <w:r w:rsidR="00AE53B7">
                  <w:rPr>
                    <w:rFonts w:ascii="Times New Roman" w:hAnsi="Times New Roman"/>
                    <w:spacing w:val="-10"/>
                    <w:sz w:val="20"/>
                  </w:rPr>
                  <w:fldChar w:fldCharType="begin"/>
                </w:r>
                <w:r>
                  <w:rPr>
                    <w:rFonts w:ascii="Times New Roman" w:hAnsi="Times New Roman"/>
                    <w:spacing w:val="-10"/>
                    <w:sz w:val="20"/>
                  </w:rPr>
                  <w:instrText xml:space="preserve"> NUMPAGES </w:instrText>
                </w:r>
                <w:r w:rsidR="00AE53B7">
                  <w:rPr>
                    <w:rFonts w:ascii="Times New Roman" w:hAnsi="Times New Roman"/>
                    <w:spacing w:val="-10"/>
                    <w:sz w:val="20"/>
                  </w:rPr>
                  <w:fldChar w:fldCharType="separate"/>
                </w:r>
                <w:r w:rsidR="0082762B">
                  <w:rPr>
                    <w:rFonts w:ascii="Times New Roman" w:hAnsi="Times New Roman"/>
                    <w:noProof/>
                    <w:spacing w:val="-10"/>
                    <w:sz w:val="20"/>
                  </w:rPr>
                  <w:t>3</w:t>
                </w:r>
                <w:r w:rsidR="00AE53B7">
                  <w:rPr>
                    <w:rFonts w:ascii="Times New Roman" w:hAnsi="Times New Roman"/>
                    <w:spacing w:val="-10"/>
                    <w:sz w:val="20"/>
                  </w:rPr>
                  <w:fldChar w:fldCharType="end"/>
                </w:r>
              </w:p>
            </w:txbxContent>
          </v:textbox>
          <w10:wrap anchorx="page" anchory="page"/>
        </v:shape>
      </w:pict>
    </w:r>
    <w:r w:rsidRPr="00AE53B7">
      <w:pict>
        <v:shape id="docshape2" o:spid="_x0000_s1025" type="#_x0000_t202" style="position:absolute;margin-left:536.8pt;margin-top:793.9pt;width:12pt;height:13.1pt;z-index:-15788544;mso-position-horizontal-relative:page;mso-position-vertical-relative:page" filled="f" stroked="f">
          <v:textbox inset="0,0,0,0">
            <w:txbxContent>
              <w:p w:rsidR="00AE53B7" w:rsidRDefault="00AE53B7">
                <w:pPr>
                  <w:spacing w:before="11"/>
                  <w:ind w:left="60"/>
                  <w:rPr>
                    <w:rFonts w:ascii="Times New Roman"/>
                    <w:sz w:val="20"/>
                  </w:rPr>
                </w:pPr>
                <w:r>
                  <w:rPr>
                    <w:rFonts w:ascii="Times New Roman"/>
                    <w:spacing w:val="-10"/>
                    <w:sz w:val="20"/>
                  </w:rPr>
                  <w:fldChar w:fldCharType="begin"/>
                </w:r>
                <w:r w:rsidR="003165AF">
                  <w:rPr>
                    <w:rFonts w:ascii="Times New Roman"/>
                    <w:spacing w:val="-10"/>
                    <w:sz w:val="20"/>
                  </w:rPr>
                  <w:instrText xml:space="preserve"> PAGE </w:instrText>
                </w:r>
                <w:r>
                  <w:rPr>
                    <w:rFonts w:ascii="Times New Roman"/>
                    <w:spacing w:val="-10"/>
                    <w:sz w:val="20"/>
                  </w:rPr>
                  <w:fldChar w:fldCharType="separate"/>
                </w:r>
                <w:r w:rsidR="0082762B">
                  <w:rPr>
                    <w:rFonts w:ascii="Times New Roman"/>
                    <w:noProof/>
                    <w:spacing w:val="-10"/>
                    <w:sz w:val="20"/>
                  </w:rPr>
                  <w:t>1</w:t>
                </w:r>
                <w:r>
                  <w:rPr>
                    <w:rFonts w:ascii="Times New Roman"/>
                    <w:spacing w:val="-10"/>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5AF" w:rsidRDefault="003165AF" w:rsidP="00AE53B7">
      <w:r>
        <w:separator/>
      </w:r>
    </w:p>
  </w:footnote>
  <w:footnote w:type="continuationSeparator" w:id="0">
    <w:p w:rsidR="003165AF" w:rsidRDefault="003165AF" w:rsidP="00AE5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240F8"/>
    <w:multiLevelType w:val="hybridMultilevel"/>
    <w:tmpl w:val="8946A48E"/>
    <w:lvl w:ilvl="0" w:tplc="57781DF8">
      <w:numFmt w:val="bullet"/>
      <w:lvlText w:val="•"/>
      <w:lvlJc w:val="left"/>
      <w:pPr>
        <w:ind w:left="100" w:hanging="708"/>
      </w:pPr>
      <w:rPr>
        <w:rFonts w:ascii="Tahoma" w:eastAsia="Tahoma" w:hAnsi="Tahoma" w:cs="Tahoma" w:hint="default"/>
        <w:b w:val="0"/>
        <w:bCs w:val="0"/>
        <w:i w:val="0"/>
        <w:iCs w:val="0"/>
        <w:spacing w:val="0"/>
        <w:w w:val="100"/>
        <w:sz w:val="22"/>
        <w:szCs w:val="22"/>
        <w:lang w:val="el-GR" w:eastAsia="en-US" w:bidi="ar-SA"/>
      </w:rPr>
    </w:lvl>
    <w:lvl w:ilvl="1" w:tplc="280EF75C">
      <w:numFmt w:val="bullet"/>
      <w:lvlText w:val="•"/>
      <w:lvlJc w:val="left"/>
      <w:pPr>
        <w:ind w:left="1052" w:hanging="708"/>
      </w:pPr>
      <w:rPr>
        <w:rFonts w:hint="default"/>
        <w:lang w:val="el-GR" w:eastAsia="en-US" w:bidi="ar-SA"/>
      </w:rPr>
    </w:lvl>
    <w:lvl w:ilvl="2" w:tplc="4CB8BF1C">
      <w:numFmt w:val="bullet"/>
      <w:lvlText w:val="•"/>
      <w:lvlJc w:val="left"/>
      <w:pPr>
        <w:ind w:left="2005" w:hanging="708"/>
      </w:pPr>
      <w:rPr>
        <w:rFonts w:hint="default"/>
        <w:lang w:val="el-GR" w:eastAsia="en-US" w:bidi="ar-SA"/>
      </w:rPr>
    </w:lvl>
    <w:lvl w:ilvl="3" w:tplc="243ED9A0">
      <w:numFmt w:val="bullet"/>
      <w:lvlText w:val="•"/>
      <w:lvlJc w:val="left"/>
      <w:pPr>
        <w:ind w:left="2957" w:hanging="708"/>
      </w:pPr>
      <w:rPr>
        <w:rFonts w:hint="default"/>
        <w:lang w:val="el-GR" w:eastAsia="en-US" w:bidi="ar-SA"/>
      </w:rPr>
    </w:lvl>
    <w:lvl w:ilvl="4" w:tplc="55DAED22">
      <w:numFmt w:val="bullet"/>
      <w:lvlText w:val="•"/>
      <w:lvlJc w:val="left"/>
      <w:pPr>
        <w:ind w:left="3910" w:hanging="708"/>
      </w:pPr>
      <w:rPr>
        <w:rFonts w:hint="default"/>
        <w:lang w:val="el-GR" w:eastAsia="en-US" w:bidi="ar-SA"/>
      </w:rPr>
    </w:lvl>
    <w:lvl w:ilvl="5" w:tplc="EDE4E9A4">
      <w:numFmt w:val="bullet"/>
      <w:lvlText w:val="•"/>
      <w:lvlJc w:val="left"/>
      <w:pPr>
        <w:ind w:left="4863" w:hanging="708"/>
      </w:pPr>
      <w:rPr>
        <w:rFonts w:hint="default"/>
        <w:lang w:val="el-GR" w:eastAsia="en-US" w:bidi="ar-SA"/>
      </w:rPr>
    </w:lvl>
    <w:lvl w:ilvl="6" w:tplc="D2408028">
      <w:numFmt w:val="bullet"/>
      <w:lvlText w:val="•"/>
      <w:lvlJc w:val="left"/>
      <w:pPr>
        <w:ind w:left="5815" w:hanging="708"/>
      </w:pPr>
      <w:rPr>
        <w:rFonts w:hint="default"/>
        <w:lang w:val="el-GR" w:eastAsia="en-US" w:bidi="ar-SA"/>
      </w:rPr>
    </w:lvl>
    <w:lvl w:ilvl="7" w:tplc="FD22BE10">
      <w:numFmt w:val="bullet"/>
      <w:lvlText w:val="•"/>
      <w:lvlJc w:val="left"/>
      <w:pPr>
        <w:ind w:left="6768" w:hanging="708"/>
      </w:pPr>
      <w:rPr>
        <w:rFonts w:hint="default"/>
        <w:lang w:val="el-GR" w:eastAsia="en-US" w:bidi="ar-SA"/>
      </w:rPr>
    </w:lvl>
    <w:lvl w:ilvl="8" w:tplc="EC900F50">
      <w:numFmt w:val="bullet"/>
      <w:lvlText w:val="•"/>
      <w:lvlJc w:val="left"/>
      <w:pPr>
        <w:ind w:left="7720" w:hanging="708"/>
      </w:pPr>
      <w:rPr>
        <w:rFonts w:hint="default"/>
        <w:lang w:val="el-GR" w:eastAsia="en-US" w:bidi="ar-SA"/>
      </w:rPr>
    </w:lvl>
  </w:abstractNum>
  <w:abstractNum w:abstractNumId="1">
    <w:nsid w:val="75866373"/>
    <w:multiLevelType w:val="hybridMultilevel"/>
    <w:tmpl w:val="FA0677C8"/>
    <w:lvl w:ilvl="0" w:tplc="A12A491C">
      <w:numFmt w:val="bullet"/>
      <w:lvlText w:val="•"/>
      <w:lvlJc w:val="left"/>
      <w:pPr>
        <w:ind w:left="100" w:hanging="708"/>
      </w:pPr>
      <w:rPr>
        <w:rFonts w:ascii="Tahoma" w:eastAsia="Tahoma" w:hAnsi="Tahoma" w:cs="Tahoma" w:hint="default"/>
        <w:b w:val="0"/>
        <w:bCs w:val="0"/>
        <w:i w:val="0"/>
        <w:iCs w:val="0"/>
        <w:spacing w:val="0"/>
        <w:w w:val="100"/>
        <w:sz w:val="22"/>
        <w:szCs w:val="22"/>
        <w:lang w:val="el-GR" w:eastAsia="en-US" w:bidi="ar-SA"/>
      </w:rPr>
    </w:lvl>
    <w:lvl w:ilvl="1" w:tplc="4738A9D0">
      <w:numFmt w:val="bullet"/>
      <w:lvlText w:val="•"/>
      <w:lvlJc w:val="left"/>
      <w:pPr>
        <w:ind w:left="1052" w:hanging="708"/>
      </w:pPr>
      <w:rPr>
        <w:rFonts w:hint="default"/>
        <w:lang w:val="el-GR" w:eastAsia="en-US" w:bidi="ar-SA"/>
      </w:rPr>
    </w:lvl>
    <w:lvl w:ilvl="2" w:tplc="35320D8A">
      <w:numFmt w:val="bullet"/>
      <w:lvlText w:val="•"/>
      <w:lvlJc w:val="left"/>
      <w:pPr>
        <w:ind w:left="2005" w:hanging="708"/>
      </w:pPr>
      <w:rPr>
        <w:rFonts w:hint="default"/>
        <w:lang w:val="el-GR" w:eastAsia="en-US" w:bidi="ar-SA"/>
      </w:rPr>
    </w:lvl>
    <w:lvl w:ilvl="3" w:tplc="AB6E0AAE">
      <w:numFmt w:val="bullet"/>
      <w:lvlText w:val="•"/>
      <w:lvlJc w:val="left"/>
      <w:pPr>
        <w:ind w:left="2957" w:hanging="708"/>
      </w:pPr>
      <w:rPr>
        <w:rFonts w:hint="default"/>
        <w:lang w:val="el-GR" w:eastAsia="en-US" w:bidi="ar-SA"/>
      </w:rPr>
    </w:lvl>
    <w:lvl w:ilvl="4" w:tplc="0C8CB536">
      <w:numFmt w:val="bullet"/>
      <w:lvlText w:val="•"/>
      <w:lvlJc w:val="left"/>
      <w:pPr>
        <w:ind w:left="3910" w:hanging="708"/>
      </w:pPr>
      <w:rPr>
        <w:rFonts w:hint="default"/>
        <w:lang w:val="el-GR" w:eastAsia="en-US" w:bidi="ar-SA"/>
      </w:rPr>
    </w:lvl>
    <w:lvl w:ilvl="5" w:tplc="743C87F2">
      <w:numFmt w:val="bullet"/>
      <w:lvlText w:val="•"/>
      <w:lvlJc w:val="left"/>
      <w:pPr>
        <w:ind w:left="4863" w:hanging="708"/>
      </w:pPr>
      <w:rPr>
        <w:rFonts w:hint="default"/>
        <w:lang w:val="el-GR" w:eastAsia="en-US" w:bidi="ar-SA"/>
      </w:rPr>
    </w:lvl>
    <w:lvl w:ilvl="6" w:tplc="BAA00816">
      <w:numFmt w:val="bullet"/>
      <w:lvlText w:val="•"/>
      <w:lvlJc w:val="left"/>
      <w:pPr>
        <w:ind w:left="5815" w:hanging="708"/>
      </w:pPr>
      <w:rPr>
        <w:rFonts w:hint="default"/>
        <w:lang w:val="el-GR" w:eastAsia="en-US" w:bidi="ar-SA"/>
      </w:rPr>
    </w:lvl>
    <w:lvl w:ilvl="7" w:tplc="A4807156">
      <w:numFmt w:val="bullet"/>
      <w:lvlText w:val="•"/>
      <w:lvlJc w:val="left"/>
      <w:pPr>
        <w:ind w:left="6768" w:hanging="708"/>
      </w:pPr>
      <w:rPr>
        <w:rFonts w:hint="default"/>
        <w:lang w:val="el-GR" w:eastAsia="en-US" w:bidi="ar-SA"/>
      </w:rPr>
    </w:lvl>
    <w:lvl w:ilvl="8" w:tplc="54D27840">
      <w:numFmt w:val="bullet"/>
      <w:lvlText w:val="•"/>
      <w:lvlJc w:val="left"/>
      <w:pPr>
        <w:ind w:left="7720" w:hanging="708"/>
      </w:pPr>
      <w:rPr>
        <w:rFonts w:hint="default"/>
        <w:lang w:val="el-GR"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AE53B7"/>
    <w:rsid w:val="003165AF"/>
    <w:rsid w:val="0082762B"/>
    <w:rsid w:val="00AE53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E53B7"/>
    <w:rPr>
      <w:rFonts w:ascii="Tahoma" w:eastAsia="Tahoma" w:hAnsi="Tahoma" w:cs="Tahoma"/>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E53B7"/>
    <w:tblPr>
      <w:tblInd w:w="0" w:type="dxa"/>
      <w:tblCellMar>
        <w:top w:w="0" w:type="dxa"/>
        <w:left w:w="0" w:type="dxa"/>
        <w:bottom w:w="0" w:type="dxa"/>
        <w:right w:w="0" w:type="dxa"/>
      </w:tblCellMar>
    </w:tblPr>
  </w:style>
  <w:style w:type="paragraph" w:styleId="a3">
    <w:name w:val="Body Text"/>
    <w:basedOn w:val="a"/>
    <w:uiPriority w:val="1"/>
    <w:qFormat/>
    <w:rsid w:val="00AE53B7"/>
  </w:style>
  <w:style w:type="paragraph" w:styleId="a4">
    <w:name w:val="List Paragraph"/>
    <w:basedOn w:val="a"/>
    <w:uiPriority w:val="1"/>
    <w:qFormat/>
    <w:rsid w:val="00AE53B7"/>
    <w:pPr>
      <w:ind w:left="100" w:right="167"/>
      <w:jc w:val="both"/>
    </w:pPr>
  </w:style>
  <w:style w:type="paragraph" w:customStyle="1" w:styleId="TableParagraph">
    <w:name w:val="Table Paragraph"/>
    <w:basedOn w:val="a"/>
    <w:uiPriority w:val="1"/>
    <w:qFormat/>
    <w:rsid w:val="00AE53B7"/>
  </w:style>
  <w:style w:type="paragraph" w:styleId="a5">
    <w:name w:val="Balloon Text"/>
    <w:basedOn w:val="a"/>
    <w:link w:val="Char"/>
    <w:uiPriority w:val="99"/>
    <w:semiHidden/>
    <w:unhideWhenUsed/>
    <w:rsid w:val="0082762B"/>
    <w:rPr>
      <w:sz w:val="16"/>
      <w:szCs w:val="16"/>
    </w:rPr>
  </w:style>
  <w:style w:type="character" w:customStyle="1" w:styleId="Char">
    <w:name w:val="Κείμενο πλαισίου Char"/>
    <w:basedOn w:val="a0"/>
    <w:link w:val="a5"/>
    <w:uiPriority w:val="99"/>
    <w:semiHidden/>
    <w:rsid w:val="0082762B"/>
    <w:rPr>
      <w:rFonts w:ascii="Tahoma" w:eastAsia="Tahoma"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ostis.liakopoulos@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5394</Characters>
  <Application>Microsoft Office Word</Application>
  <DocSecurity>0</DocSecurity>
  <Lines>44</Lines>
  <Paragraphs>12</Paragraphs>
  <ScaleCrop>false</ScaleCrop>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1716/Σ.291/28-08-24/ΥΠΟΥΡΓΕΙΟ ΚΟΙΝΩΝΙΚΗΣ ΣΥΝΟΧΗΣ ΚΑΙ ΟΙΚΟΓΕΝΕΙΑΣ/Ιδιαίτερο Γραφείο Υπουργού</dc:title>
  <dc:subject>JOΓO JARDIM x8?! PORRA! DIA 8 VOTA NΓO!</dc:subject>
  <dc:creator>ΛΙΑΚΟΠΟΥΛΟΣ ΚΩΝΣΤΑΝΤΙΝΟΣ</dc:creator>
  <cp:keywords>Ethan</cp:keywords>
  <cp:lastModifiedBy>ΚΩΣΤΑΣ</cp:lastModifiedBy>
  <cp:revision>2</cp:revision>
  <dcterms:created xsi:type="dcterms:W3CDTF">2024-09-03T07:50:00Z</dcterms:created>
  <dcterms:modified xsi:type="dcterms:W3CDTF">2024-09-03T07:50:00Z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Microsoft Office Word</vt:lpwstr>
  </property>
  <property fmtid="{D5CDD505-2E9C-101B-9397-08002B2CF9AE}" pid="4" name="LastSaved">
    <vt:filetime>2024-09-03T00:00:00Z</vt:filetime>
  </property>
  <property fmtid="{D5CDD505-2E9C-101B-9397-08002B2CF9AE}" pid="5" name="Producer">
    <vt:lpwstr>Aspose.Words for .NET 21.11.0; modified using iText® Core 7.2.0 (AGPL version) ©2000-2021 iText Group NV</vt:lpwstr>
  </property>
</Properties>
</file>